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91" w:rsidRPr="00777B91" w:rsidRDefault="00777B91" w:rsidP="00777B91">
      <w:pPr>
        <w:ind w:right="-496"/>
        <w:jc w:val="center"/>
        <w:rPr>
          <w:rFonts w:ascii="Arial" w:hAnsi="Arial" w:cs="Arial"/>
          <w:b/>
          <w:sz w:val="20"/>
          <w:szCs w:val="20"/>
        </w:rPr>
      </w:pPr>
      <w:r w:rsidRPr="00777B91">
        <w:rPr>
          <w:rFonts w:ascii="Arial" w:hAnsi="Arial" w:cs="Arial"/>
          <w:b/>
          <w:sz w:val="20"/>
          <w:szCs w:val="20"/>
        </w:rPr>
        <w:t>PROYECTO. “FORTALECIMIENTO CONCERTADO DE LA GESTIÓN EDUCATIVA DE EBR CON  EDUCACIÓN TECNOLÓGICA PRODUCTIVA INTERCULTURAL DEL AREA RURAL EN LOS DISTRITOS DEL CONO NORTE DE LA PROVINCIA DE HUANCAVELICA” SEGUNDA ETAPA.</w:t>
      </w:r>
    </w:p>
    <w:p w:rsidR="00777B91" w:rsidRPr="00777B91" w:rsidRDefault="00777B91" w:rsidP="00777B91">
      <w:pPr>
        <w:numPr>
          <w:ilvl w:val="0"/>
          <w:numId w:val="13"/>
        </w:numPr>
        <w:autoSpaceDE w:val="0"/>
        <w:autoSpaceDN w:val="0"/>
        <w:adjustRightInd w:val="0"/>
        <w:spacing w:before="0" w:after="0"/>
        <w:ind w:left="360" w:right="-496" w:hanging="360"/>
        <w:jc w:val="center"/>
        <w:rPr>
          <w:rFonts w:ascii="Arial" w:hAnsi="Arial" w:cs="Arial"/>
          <w:b/>
          <w:szCs w:val="20"/>
        </w:rPr>
      </w:pPr>
      <w:r w:rsidRPr="00777B91">
        <w:rPr>
          <w:rFonts w:ascii="Arial" w:hAnsi="Arial" w:cs="Arial"/>
          <w:b/>
          <w:szCs w:val="20"/>
        </w:rPr>
        <w:t>MARCO LÓGICO</w:t>
      </w:r>
    </w:p>
    <w:p w:rsidR="00777B91" w:rsidRPr="00FA533E" w:rsidRDefault="00777B91" w:rsidP="00777B91">
      <w:pPr>
        <w:numPr>
          <w:ilvl w:val="0"/>
          <w:numId w:val="13"/>
        </w:numPr>
        <w:autoSpaceDE w:val="0"/>
        <w:autoSpaceDN w:val="0"/>
        <w:adjustRightInd w:val="0"/>
        <w:spacing w:before="0" w:after="0"/>
        <w:ind w:left="360" w:right="-496" w:hanging="36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3"/>
        <w:gridCol w:w="3796"/>
        <w:gridCol w:w="691"/>
        <w:gridCol w:w="3119"/>
        <w:gridCol w:w="126"/>
        <w:gridCol w:w="299"/>
        <w:gridCol w:w="4111"/>
      </w:tblGrid>
      <w:tr w:rsidR="00777B91" w:rsidRPr="00FA533E" w:rsidTr="00777B91">
        <w:trPr>
          <w:trHeight w:val="584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77B91" w:rsidRPr="00FA533E" w:rsidRDefault="00777B91" w:rsidP="00643C2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533E">
              <w:rPr>
                <w:rFonts w:ascii="Arial" w:hAnsi="Arial" w:cs="Arial"/>
                <w:b/>
                <w:bCs/>
              </w:rPr>
              <w:t>OBJETIVO GENERAL</w:t>
            </w:r>
          </w:p>
        </w:tc>
        <w:tc>
          <w:tcPr>
            <w:tcW w:w="12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77B91" w:rsidRPr="00FA533E" w:rsidRDefault="00777B91" w:rsidP="00643C2E">
            <w:pPr>
              <w:rPr>
                <w:rFonts w:ascii="Arial" w:hAnsi="Arial" w:cs="Arial"/>
              </w:rPr>
            </w:pPr>
            <w:r w:rsidRPr="00FA533E">
              <w:rPr>
                <w:rFonts w:ascii="Arial" w:hAnsi="Arial" w:cs="Arial"/>
              </w:rPr>
              <w:t>Fortalecer  en los estudiantes de Educación Básica Regular</w:t>
            </w:r>
            <w:r w:rsidRPr="00FA533E">
              <w:rPr>
                <w:rFonts w:ascii="Arial" w:hAnsi="Arial" w:cs="Arial"/>
                <w:b/>
              </w:rPr>
              <w:t xml:space="preserve"> </w:t>
            </w:r>
            <w:r w:rsidRPr="00FA533E">
              <w:rPr>
                <w:rFonts w:ascii="Arial" w:hAnsi="Arial" w:cs="Arial"/>
              </w:rPr>
              <w:t>de los distritos del Cono Norte de la Provincia de Huancavelica, aprendizajes significativos</w:t>
            </w:r>
            <w:r w:rsidRPr="00FA533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A533E">
              <w:rPr>
                <w:rFonts w:ascii="Arial" w:hAnsi="Arial" w:cs="Arial"/>
                <w:color w:val="000000"/>
              </w:rPr>
              <w:t>con enfoque de educación productiva e intercultural</w:t>
            </w:r>
            <w:r w:rsidRPr="00FA533E">
              <w:rPr>
                <w:rFonts w:ascii="Arial" w:hAnsi="Arial" w:cs="Arial"/>
              </w:rPr>
              <w:t xml:space="preserve"> bilingüe.</w:t>
            </w:r>
          </w:p>
        </w:tc>
      </w:tr>
      <w:tr w:rsidR="00777B91" w:rsidRPr="00FA533E" w:rsidTr="00777B91">
        <w:trPr>
          <w:trHeight w:val="666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777B91" w:rsidRPr="00FA533E" w:rsidRDefault="00777B91" w:rsidP="00643C2E">
            <w:pPr>
              <w:rPr>
                <w:rFonts w:ascii="Arial" w:hAnsi="Arial" w:cs="Arial"/>
                <w:b/>
                <w:bCs/>
              </w:rPr>
            </w:pPr>
            <w:r w:rsidRPr="00FA533E">
              <w:rPr>
                <w:rFonts w:ascii="Arial" w:hAnsi="Arial" w:cs="Arial"/>
                <w:b/>
                <w:bCs/>
              </w:rPr>
              <w:t>OBJETIVO ESPECIFICOS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777B91" w:rsidRPr="00FA533E" w:rsidRDefault="00777B91" w:rsidP="00643C2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533E">
              <w:rPr>
                <w:rFonts w:ascii="Arial" w:hAnsi="Arial" w:cs="Arial"/>
                <w:b/>
                <w:bCs/>
              </w:rPr>
              <w:t>INDICADORES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777B91" w:rsidRPr="00FA533E" w:rsidRDefault="00777B91" w:rsidP="00643C2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533E">
              <w:rPr>
                <w:rFonts w:ascii="Arial" w:hAnsi="Arial" w:cs="Arial"/>
                <w:b/>
                <w:bCs/>
              </w:rPr>
              <w:t>FUENTES DE VERIFICACIÓN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777B91" w:rsidRPr="00FA533E" w:rsidRDefault="00777B91" w:rsidP="00643C2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533E">
              <w:rPr>
                <w:rFonts w:ascii="Arial" w:hAnsi="Arial" w:cs="Arial"/>
                <w:b/>
                <w:bCs/>
              </w:rPr>
              <w:t>SUPUESTOS</w:t>
            </w:r>
          </w:p>
        </w:tc>
      </w:tr>
      <w:tr w:rsidR="00777B91" w:rsidRPr="00FA533E" w:rsidTr="00643C2E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  <w:sz w:val="18"/>
                <w:szCs w:val="18"/>
              </w:rPr>
              <w:t>OBJETIVO ESPECIFICO 01:</w:t>
            </w:r>
          </w:p>
          <w:p w:rsidR="00777B91" w:rsidRPr="00FA533E" w:rsidRDefault="00777B91" w:rsidP="00643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533E">
              <w:rPr>
                <w:rFonts w:ascii="Arial" w:hAnsi="Arial" w:cs="Arial"/>
                <w:bCs/>
                <w:sz w:val="18"/>
                <w:szCs w:val="18"/>
              </w:rPr>
              <w:t>Reconocer al Instituto de Educación Superior Pedagógico Público de Huancavelica como institución regional  de Formación Continua, en educación productiva e intercultural bilingüe.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  <w:tab w:val="left" w:pos="263"/>
              </w:tabs>
              <w:spacing w:before="0" w:after="0"/>
              <w:ind w:left="263" w:hanging="26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alumnos de formación inicial del IESPPH  </w:t>
            </w:r>
            <w:r w:rsidRPr="00FA533E">
              <w:rPr>
                <w:rFonts w:ascii="Arial" w:hAnsi="Arial" w:cs="Arial"/>
                <w:sz w:val="18"/>
                <w:szCs w:val="18"/>
              </w:rPr>
              <w:t>desarrollan capacidades mediante</w:t>
            </w: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 procesos de investigación acción en educación productiva e EIB, e internado en la zona de intervención del </w:t>
            </w:r>
            <w:r w:rsidRPr="00FA533E">
              <w:rPr>
                <w:rFonts w:ascii="Arial" w:hAnsi="Arial" w:cs="Arial"/>
                <w:sz w:val="18"/>
                <w:szCs w:val="18"/>
              </w:rPr>
              <w:t>proyecto  con la asistencia del equipo de docentes de formación continua del IESPPH, al finalizar el primer semestre del año 2013.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  <w:tab w:val="left" w:pos="263"/>
              </w:tabs>
              <w:spacing w:before="0" w:after="0"/>
              <w:ind w:left="263" w:hanging="26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 80% de docentes del IESPPH</w:t>
            </w: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 desarrollan capacidades en la elaboración de proyectos de Inversión mediante procesos de investigación  en educación productiva en EIB y publican su producción intelectual al finalizar el primer semestre del año 2013.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  <w:tab w:val="left" w:pos="263"/>
              </w:tabs>
              <w:spacing w:before="0" w:after="0"/>
              <w:ind w:left="263" w:hanging="26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 IESPPH implementando con una biblioteca especializada (100 textos, 25 </w:t>
            </w:r>
            <w:proofErr w:type="spellStart"/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CDs</w:t>
            </w:r>
            <w:proofErr w:type="spellEnd"/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, una computadora y un proyector multimedia) y tres módulos productivos pilotos experimentales (01 </w:t>
            </w:r>
            <w:proofErr w:type="spellStart"/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fitotoldo</w:t>
            </w:r>
            <w:proofErr w:type="spellEnd"/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, 01 de crianza de cuyes y 01 de artesanía textil) con perspectiva en formación continua con enfoque productivo y EIB</w:t>
            </w:r>
            <w:r w:rsidRPr="00FA533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  <w:tab w:val="left" w:pos="263"/>
              </w:tabs>
              <w:spacing w:before="0" w:after="0"/>
              <w:ind w:left="263" w:hanging="26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Proyecto  de reconocimiento del IESPPH como institución de Formación Continua Regional, a través de una Resolución Regional, elaborado por un equipo especializado de la institución.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Constitución del equipo de docentes de formación </w:t>
            </w:r>
            <w:proofErr w:type="gramStart"/>
            <w:r w:rsidRPr="00FA533E">
              <w:rPr>
                <w:rFonts w:ascii="Arial" w:hAnsi="Arial" w:cs="Arial"/>
                <w:sz w:val="18"/>
                <w:szCs w:val="18"/>
              </w:rPr>
              <w:t>continua</w:t>
            </w:r>
            <w:proofErr w:type="gramEnd"/>
            <w:r w:rsidRPr="00FA533E">
              <w:rPr>
                <w:rFonts w:ascii="Arial" w:hAnsi="Arial" w:cs="Arial"/>
                <w:sz w:val="18"/>
                <w:szCs w:val="18"/>
              </w:rPr>
              <w:t xml:space="preserve"> del IESPPH.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Informe de prácticas y trabajos de investigación de los estudiantes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Asistencia a talleres.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publicación de investigaciones-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especialización  en proyectos de inversión-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Actas de entrega de la implementación e instalación de los módulos productivos pilotos experimentales.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Acta de entrega de la implementación de Biblioteca especializada.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bienes y enseres de  los módulos productivos experimentales.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Resolución Regional de reconocimiento del IESPPH como institución de  formación continua  en Educación Productiva y EIB-</w:t>
            </w:r>
          </w:p>
          <w:p w:rsidR="00777B91" w:rsidRPr="00FA533E" w:rsidRDefault="00777B91" w:rsidP="00643C2E">
            <w:pPr>
              <w:tabs>
                <w:tab w:val="left" w:pos="223"/>
              </w:tabs>
              <w:ind w:left="223"/>
              <w:rPr>
                <w:rFonts w:ascii="Arial" w:hAnsi="Arial" w:cs="Arial"/>
                <w:sz w:val="18"/>
                <w:szCs w:val="18"/>
              </w:rPr>
            </w:pPr>
          </w:p>
          <w:p w:rsidR="00777B91" w:rsidRPr="00FA533E" w:rsidRDefault="00777B91" w:rsidP="00643C2E">
            <w:pPr>
              <w:tabs>
                <w:tab w:val="left" w:pos="223"/>
              </w:tabs>
              <w:ind w:left="2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269" w:hanging="2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El Gobierno Regional de Huancavelica, participa activamente en la Implementación de la Educación Productiva y EIB, en el marco del Proyecto Educativo Regional de Huancavelica en coordinación con el IESPPH.</w:t>
            </w:r>
          </w:p>
          <w:p w:rsidR="00777B91" w:rsidRPr="00FA533E" w:rsidRDefault="00777B91" w:rsidP="00643C2E">
            <w:pPr>
              <w:tabs>
                <w:tab w:val="left" w:pos="269"/>
              </w:tabs>
              <w:ind w:left="2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El ISPPH, cuenta con experiencia en capacitaciones convocadas por el Ministerio de Educación como: PLANCAD – EBI., PRONACAF – EBI. Así como en proyectos productivos con énfasis en Educación Intercultural Bilingüe.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269" w:hanging="2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El cambio permanente de las autoridades educativas regionales y la UGELH , que ocasionan inestabilidad en la continuidad de los proyectos educativos en la región-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269" w:hanging="2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Los docentes beneficiarios reconocen la utilidad y necesidad de desarrollar una  Educación Productiva Intercultural Bilingüe (EPIB).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269" w:hanging="2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El  Gobierno Regional declara a través de una Resolución al IESPPH, como institución de Formación Continua en EPIB</w:t>
            </w:r>
          </w:p>
          <w:p w:rsidR="00777B91" w:rsidRPr="00FA533E" w:rsidRDefault="00777B91" w:rsidP="00643C2E">
            <w:pPr>
              <w:tabs>
                <w:tab w:val="left" w:pos="269"/>
              </w:tabs>
              <w:ind w:left="26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B91" w:rsidRPr="00FA533E" w:rsidTr="00643C2E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OBJETIVO ESPECIFICO 02:</w:t>
            </w:r>
          </w:p>
          <w:p w:rsidR="00777B91" w:rsidRPr="00FA533E" w:rsidRDefault="00777B91" w:rsidP="00643C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Validar</w:t>
            </w:r>
            <w:r w:rsidRPr="00FA533E">
              <w:rPr>
                <w:rFonts w:ascii="Arial" w:hAnsi="Arial" w:cs="Arial"/>
                <w:bCs/>
                <w:sz w:val="18"/>
                <w:szCs w:val="18"/>
              </w:rPr>
              <w:t xml:space="preserve"> el Diseño Curricular Diversificado de Educación Secundaria con enfoque  productivo intercultural bilingüe, con la participación de  los docentes de EBR, actores sociales y el equipo técnico del proyecto; y autorizar su aplicación oficial por parte de la UGELH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12"/>
              </w:numPr>
              <w:tabs>
                <w:tab w:val="left" w:pos="263"/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0" w:after="0"/>
              <w:ind w:left="261" w:hanging="26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El 80% de docentes y actores locales validan el currículo diversificado orientado a educación productiva con enfoque intercultural bilingüe al finalizar el segundo semestre del año </w:t>
            </w: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lectivo </w:t>
            </w:r>
            <w:r w:rsidRPr="00FA533E">
              <w:rPr>
                <w:rFonts w:ascii="Arial" w:hAnsi="Arial" w:cs="Arial"/>
                <w:sz w:val="18"/>
                <w:szCs w:val="18"/>
              </w:rPr>
              <w:t>del 2013 favoreciendo</w:t>
            </w: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 el aprendizaje pertinente de los estudiantes de</w:t>
            </w:r>
            <w:r w:rsidRPr="00FA533E">
              <w:rPr>
                <w:rFonts w:ascii="Arial" w:hAnsi="Arial" w:cs="Arial"/>
                <w:sz w:val="18"/>
                <w:szCs w:val="18"/>
              </w:rPr>
              <w:t xml:space="preserve"> educación básica regular  de los distritos del cono norte de Huancavelica.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12"/>
              </w:numPr>
              <w:tabs>
                <w:tab w:val="left" w:pos="263"/>
              </w:tabs>
              <w:spacing w:before="0" w:after="0"/>
              <w:ind w:left="261" w:hanging="261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Gobierno Regional, DRE, UGEL e IESPPH reconocen y autorizan el uso de currículo diversificado y </w:t>
            </w:r>
            <w:r w:rsidRPr="00FA5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validado</w:t>
            </w: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 orientado a educación productiva con enfoque intercultural bilingüe, al finalizar el segundo semestre   del año lectivo 2013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23" w:hanging="284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Resolución Directoral emanada por la UGEL, de Autorización del Currículo Diversificado orientado a educación productiva con enfoque intercultural bilingüe.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23" w:hanging="284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Informe técnico del estudio de validación del Diseño Curricular Diversificado para el Cono Norte de la Provincia de Huancavelica.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23" w:hanging="284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Informe memoria anual de las II.EE. en la que aseguran que han implementado, ejecutado y validado  la propuesta educativa técnico productiva con enfoque intercultural.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69" w:hanging="283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Currículo Regional Diversificado orientado a la educación productiva  en proceso de Aprobación por parte de la Dirección Regional de Educación de Huancavelica con Resolución.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69" w:hanging="283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DREH y UGEL dispuestas a trabajar con organizaciones sociales y docentes en los procesos de diversificación curricular.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69" w:hanging="283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La pertinencia de la Educación Productiva e Intercultural, es necesidad prioritaria en la zona de influencia.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69" w:hanging="283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Resistencia de algunos padres de familia a la enseñanza del quechua en las II.EE.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69" w:hanging="283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Los docentes participan activamente en la elaboración de los documentos de gestión.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69" w:hanging="283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Escasa capacidad logística de parte del IESPPH, para la cobertura de los capacitadores y monitores a docentes, por distancia considerable entre II.EE. y poca disponibilidad de medios de transporte público.</w:t>
            </w:r>
          </w:p>
          <w:p w:rsidR="00777B91" w:rsidRPr="00FA533E" w:rsidRDefault="00777B91" w:rsidP="00643C2E">
            <w:pPr>
              <w:pStyle w:val="Prrafodelista"/>
              <w:spacing w:after="0"/>
              <w:ind w:left="269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777B91" w:rsidRPr="00FA533E" w:rsidTr="00643C2E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  <w:sz w:val="18"/>
                <w:szCs w:val="18"/>
              </w:rPr>
              <w:t>OBJETIVO ESPECIFICO 03:</w:t>
            </w:r>
          </w:p>
          <w:p w:rsidR="00777B91" w:rsidRPr="00FA533E" w:rsidRDefault="00777B91" w:rsidP="00643C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533E">
              <w:rPr>
                <w:rFonts w:ascii="Arial" w:hAnsi="Arial" w:cs="Arial"/>
                <w:bCs/>
                <w:sz w:val="18"/>
                <w:szCs w:val="18"/>
              </w:rPr>
              <w:t xml:space="preserve">Implementar los módulos productivos convirtiéndolos en centros de producción, con equipamiento de recursos, </w:t>
            </w:r>
            <w:r w:rsidRPr="00FA533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materiales e insumos, articulándolos a la cadena productiva, </w:t>
            </w: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centros de acopio y comercialización e incidiendo en el desarrollo de capacidades emprendedoras en los estudiantes de Educación Secundaria 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12"/>
              </w:numPr>
              <w:tabs>
                <w:tab w:val="left" w:pos="404"/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0" w:after="0"/>
              <w:ind w:left="261" w:hanging="26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60% de alumnos del tercero,  cuarto y quinto año del nivel secundario desarrollan capacidades emprendedoras con iniciativas de establecer negocios  a nivel asociativo y familiar, mediante la Metodología del </w:t>
            </w:r>
            <w:r w:rsidRPr="00FA533E">
              <w:rPr>
                <w:rFonts w:ascii="Arial" w:hAnsi="Arial" w:cs="Arial"/>
                <w:i/>
                <w:sz w:val="18"/>
                <w:szCs w:val="18"/>
              </w:rPr>
              <w:t>Desarrollo de las Características Empresariales Personales - CEFE</w:t>
            </w:r>
            <w:r w:rsidRPr="00FA533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12"/>
              </w:numPr>
              <w:tabs>
                <w:tab w:val="left" w:pos="404"/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0" w:after="0"/>
              <w:ind w:left="261" w:hanging="26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El 100% de la II</w:t>
            </w:r>
            <w:proofErr w:type="gramStart"/>
            <w:r w:rsidRPr="00FA533E">
              <w:rPr>
                <w:rFonts w:ascii="Arial" w:hAnsi="Arial" w:cs="Arial"/>
                <w:sz w:val="18"/>
                <w:szCs w:val="18"/>
              </w:rPr>
              <w:t>:EE</w:t>
            </w:r>
            <w:proofErr w:type="gramEnd"/>
            <w:r w:rsidRPr="00FA533E">
              <w:rPr>
                <w:rFonts w:ascii="Arial" w:hAnsi="Arial" w:cs="Arial"/>
                <w:sz w:val="18"/>
                <w:szCs w:val="18"/>
              </w:rPr>
              <w:t xml:space="preserve"> del nivel secundario cuentan con centros de producción adecuadamente implementados para  los procesos de comercialización, al término del primer semestre del  2013.</w:t>
            </w:r>
          </w:p>
          <w:p w:rsidR="00777B91" w:rsidRPr="00FA533E" w:rsidRDefault="00777B91" w:rsidP="00643C2E">
            <w:pPr>
              <w:tabs>
                <w:tab w:val="left" w:pos="175"/>
                <w:tab w:val="left" w:pos="404"/>
              </w:tabs>
              <w:ind w:left="2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Acta de entrega de tres módulos  de producción de crianza de cuyes.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Acta de entrega de materiales e insumos para los seis centros de artesanía textil, para su producción a  escala de comercialización.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Acta de implementación y ampliación del </w:t>
            </w:r>
            <w:proofErr w:type="spellStart"/>
            <w:r w:rsidRPr="00FA533E">
              <w:rPr>
                <w:rFonts w:ascii="Arial" w:hAnsi="Arial" w:cs="Arial"/>
                <w:sz w:val="18"/>
                <w:szCs w:val="18"/>
              </w:rPr>
              <w:t>fitotoldo</w:t>
            </w:r>
            <w:proofErr w:type="spellEnd"/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Registros internos de producción por unidad productiva.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Acta de constitución de unidades de negocio.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ventas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proveedores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355" w:hanging="3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Estudiantes desmotivados en razón a los problemas sociales que se dieron en el ámbito de intervención del proyecto, que redunda en la falta de interés para definir su bienestar y su proyecto de vida  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355" w:hanging="3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Las II.EE. del nivel secundario cuentan con módulos de producción implementados para desarrollar los procesos de comercialización.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355" w:hanging="3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Los Comités de Gestión de cada II.EE. del nivel secundario son emprendedores en negocios.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355" w:hanging="3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En cada comunidad en la que se ubica las II:EE secundaria no existen centros de acopio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355" w:hanging="3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Los docentes y estudiantes predispuestos a desarrollar actividades productivas y de comercialización en el marco de la identidad cultural y lingüística.</w:t>
            </w:r>
          </w:p>
          <w:p w:rsidR="00777B91" w:rsidRPr="00FA533E" w:rsidRDefault="00777B91" w:rsidP="00643C2E">
            <w:pPr>
              <w:tabs>
                <w:tab w:val="left" w:pos="269"/>
              </w:tabs>
              <w:ind w:left="3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B91" w:rsidRPr="00FA533E" w:rsidTr="00643C2E">
        <w:trPr>
          <w:trHeight w:val="1691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OBJETIVO ESPECIFICO 04:</w:t>
            </w:r>
          </w:p>
          <w:p w:rsidR="00777B91" w:rsidRPr="00FA533E" w:rsidRDefault="00777B91" w:rsidP="00643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533E">
              <w:rPr>
                <w:rFonts w:ascii="Arial" w:hAnsi="Arial" w:cs="Arial"/>
                <w:bCs/>
                <w:sz w:val="18"/>
                <w:szCs w:val="18"/>
              </w:rPr>
              <w:t>Desarrollar capacidades de gestión institucional con enfoque de educación productiva intercultural bilingüe en directores, comités de gestión  y organizaciones sociales locales</w:t>
            </w:r>
            <w:r w:rsidRPr="00FA533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1"/>
              </w:numPr>
              <w:tabs>
                <w:tab w:val="left" w:pos="263"/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0" w:after="0"/>
              <w:ind w:left="261" w:hanging="261"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El 100% de directores de las II.EE. del nivel secundario se encuentran capacitados en  gestión productiva.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1"/>
              </w:numPr>
              <w:tabs>
                <w:tab w:val="left" w:pos="263"/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0" w:after="0"/>
              <w:ind w:left="261" w:hanging="261"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El 70% de organizaciones sociales capacitados con la Metodología CEFE en gestión de proyectos productivos inclusivos con orientación a educación productiva en el marco de la educación intercultural bilingüe, al término del primer semestre del  2013.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1"/>
              </w:numPr>
              <w:tabs>
                <w:tab w:val="left" w:pos="263"/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0" w:after="0"/>
              <w:ind w:left="261" w:hanging="261"/>
              <w:contextualSpacing w:val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El 100% de Comités de gestión de proyecto educativo productivo capacitados </w:t>
            </w:r>
            <w:r w:rsidRPr="00FA533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y gestionando su centro de acopio y comercialización</w:t>
            </w: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 al finalizar el primer semestre del  2013.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 certificación en gestión productiva-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Informe de gestión de cada uno  de los módulos de producción.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Plan de trabajo de comité de gestión de unidades de emprendimiento empresariales.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Informe de cumplimiento de actividades de los  Comités de gestión según el plan de trabajo aprobado.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Plan de capacitación con metodología CEFE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Informe del proceso de capacitación con la metodología CEFE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Plan de capacitación en comercialización.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Informe del proceso de comercialización-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269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Escaso liderazgo en las II-EE,  </w:t>
            </w:r>
            <w:proofErr w:type="spellStart"/>
            <w:r w:rsidRPr="00FA533E">
              <w:rPr>
                <w:rFonts w:ascii="Arial" w:hAnsi="Arial" w:cs="Arial"/>
                <w:sz w:val="18"/>
                <w:szCs w:val="18"/>
              </w:rPr>
              <w:t>CONEIs</w:t>
            </w:r>
            <w:proofErr w:type="spellEnd"/>
            <w:r w:rsidRPr="00FA533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A533E">
              <w:rPr>
                <w:rFonts w:ascii="Arial" w:hAnsi="Arial" w:cs="Arial"/>
                <w:sz w:val="18"/>
                <w:szCs w:val="18"/>
              </w:rPr>
              <w:t>APAFAs</w:t>
            </w:r>
            <w:proofErr w:type="spellEnd"/>
            <w:r w:rsidRPr="00FA533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269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La formación para la vida en los estudiantes se verifica con la Metodología CEFE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269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Las  organizaciones sociales no comprometidas con la educación y el desarrollo de la comunidad-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269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La articulación de la formación académica con la actividad  productiva se verifica en los estudiantes a través de los procesos de comercialización de sus productos.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269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Comités de gestión desarrollando los procesos de acopio y comercialización de sus productos.</w:t>
            </w:r>
          </w:p>
        </w:tc>
      </w:tr>
      <w:tr w:rsidR="00777B91" w:rsidRPr="00FA533E" w:rsidTr="00643C2E"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7B91" w:rsidRPr="00FA533E" w:rsidRDefault="00777B91" w:rsidP="00643C2E">
            <w:pPr>
              <w:tabs>
                <w:tab w:val="left" w:pos="355"/>
              </w:tabs>
              <w:rPr>
                <w:rFonts w:ascii="Arial" w:hAnsi="Arial" w:cs="Arial"/>
                <w:b/>
                <w:bCs/>
              </w:rPr>
            </w:pPr>
            <w:r w:rsidRPr="00FA533E">
              <w:rPr>
                <w:rFonts w:ascii="Arial" w:hAnsi="Arial" w:cs="Arial"/>
                <w:b/>
                <w:bCs/>
              </w:rPr>
              <w:t>RESULTADOS:</w:t>
            </w:r>
          </w:p>
        </w:tc>
      </w:tr>
      <w:tr w:rsidR="00777B91" w:rsidRPr="00FA533E" w:rsidTr="00643C2E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  <w:sz w:val="18"/>
                <w:szCs w:val="18"/>
              </w:rPr>
              <w:t>RESULTADO 1.1:</w:t>
            </w:r>
            <w:r w:rsidRPr="00FA533E">
              <w:rPr>
                <w:rFonts w:ascii="Arial" w:hAnsi="Arial" w:cs="Arial"/>
                <w:sz w:val="18"/>
                <w:szCs w:val="18"/>
              </w:rPr>
              <w:t xml:space="preserve"> IESPPH con gestión fortalecida y con resolución de reconocimiento como institución de  formación continua regional en EPIB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  <w:tab w:val="left" w:pos="263"/>
              </w:tabs>
              <w:spacing w:before="0" w:after="0"/>
              <w:ind w:left="263" w:hanging="26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alumnos de formación inicial del IESPPH, desarrollan las practicas pre profesionales a través de procesos de investigación en educación productiva e EIB, bajo la modalidad de internado con el apoyo de un docente  tutor.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  <w:tab w:val="left" w:pos="263"/>
              </w:tabs>
              <w:spacing w:before="0" w:after="0"/>
              <w:ind w:left="263" w:hanging="26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FA533E">
              <w:rPr>
                <w:rFonts w:ascii="Arial" w:hAnsi="Arial" w:cs="Arial"/>
                <w:sz w:val="18"/>
                <w:szCs w:val="18"/>
              </w:rPr>
              <w:t>80% docentes</w:t>
            </w: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 especializados en la elaboración de proyectos de Inversión a través de procesos de investigación  en educación productiva y EIB.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268"/>
              </w:tabs>
              <w:spacing w:before="0" w:after="0"/>
              <w:ind w:left="263" w:hanging="26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Biblioteca especializada implementada con 100 textos, 25 </w:t>
            </w:r>
            <w:proofErr w:type="spellStart"/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CDs</w:t>
            </w:r>
            <w:proofErr w:type="spellEnd"/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, una computadora y un proyector multimedia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268"/>
              </w:tabs>
              <w:spacing w:before="0" w:after="0"/>
              <w:ind w:left="263" w:hanging="26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03 módulos productivos experimentales instalados e implementados en el IESPPH (01 </w:t>
            </w:r>
            <w:proofErr w:type="spellStart"/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fitotoldo</w:t>
            </w:r>
            <w:proofErr w:type="spellEnd"/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, 01 de crianza de cuyes y 01 de artesanía textil).</w:t>
            </w:r>
          </w:p>
          <w:p w:rsidR="00777B91" w:rsidRPr="001A0B26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268"/>
              </w:tabs>
              <w:spacing w:before="0" w:after="0"/>
              <w:ind w:left="263" w:hanging="26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Reconocimiento por parte del gobierno Regional del IESPPH  como institución de formación continua regional en EPIB, a través de una Resolución Regional.</w:t>
            </w:r>
          </w:p>
          <w:p w:rsidR="00777B91" w:rsidRDefault="00777B91" w:rsidP="00643C2E">
            <w:pPr>
              <w:pStyle w:val="Prrafodelista"/>
              <w:tabs>
                <w:tab w:val="left" w:pos="268"/>
              </w:tabs>
              <w:spacing w:before="0" w:after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7B91" w:rsidRPr="00FA533E" w:rsidRDefault="00777B91" w:rsidP="00643C2E">
            <w:pPr>
              <w:pStyle w:val="Prrafodelista"/>
              <w:tabs>
                <w:tab w:val="left" w:pos="268"/>
              </w:tabs>
              <w:spacing w:before="0" w:after="0"/>
              <w:ind w:left="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Informe de prácticas y trabajos de investigación de los estudiantes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Asistencia a talleres.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publicación de investigaciones-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especialización  en proyectos de inversión-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Actas de entrega de la implementación e instalación de los módulos productivos pilotos experimentales.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Acta de entrega de la implementación de Biblioteca especializada.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bienes y enseres de  los módulos productivos experimentales.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Resolución Regional de reconocimiento del IESPPH como institución de  formación continua  en Educación Productiva y EIB-</w:t>
            </w:r>
          </w:p>
          <w:p w:rsidR="00777B91" w:rsidRPr="00FA533E" w:rsidRDefault="00777B91" w:rsidP="00643C2E">
            <w:pPr>
              <w:tabs>
                <w:tab w:val="left" w:pos="223"/>
              </w:tabs>
              <w:ind w:left="2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Políticas educativas nacionales y regionales que auspician la implementación productiva e intercultural en las II.EE. rurales.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Docentes y estudiantes del IESPPH altamente motivados y técnicamente capacitados en EPIB.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El cambio permanente de las autoridades educativas regionales y la </w:t>
            </w:r>
            <w:proofErr w:type="gramStart"/>
            <w:r w:rsidRPr="00FA533E">
              <w:rPr>
                <w:rFonts w:ascii="Arial" w:hAnsi="Arial" w:cs="Arial"/>
                <w:sz w:val="18"/>
                <w:szCs w:val="18"/>
              </w:rPr>
              <w:t>UGELH ,</w:t>
            </w:r>
            <w:proofErr w:type="gramEnd"/>
            <w:r w:rsidRPr="00FA533E">
              <w:rPr>
                <w:rFonts w:ascii="Arial" w:hAnsi="Arial" w:cs="Arial"/>
                <w:sz w:val="18"/>
                <w:szCs w:val="18"/>
              </w:rPr>
              <w:t xml:space="preserve"> que ocasionan inestabilidad en la continuidad de los proyectos educativos en la región.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Alta expectativa de docentes, estudiantes y padres de familia por la educación productiva e intercultural.</w:t>
            </w:r>
          </w:p>
          <w:p w:rsidR="00777B91" w:rsidRPr="00FA533E" w:rsidRDefault="00777B91" w:rsidP="00643C2E">
            <w:pPr>
              <w:tabs>
                <w:tab w:val="left" w:pos="176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:rsidR="00777B91" w:rsidRPr="00FA533E" w:rsidRDefault="00777B91" w:rsidP="00643C2E">
            <w:pPr>
              <w:tabs>
                <w:tab w:val="left" w:pos="176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:rsidR="00777B91" w:rsidRPr="00FA533E" w:rsidRDefault="00777B91" w:rsidP="00643C2E">
            <w:pPr>
              <w:tabs>
                <w:tab w:val="left" w:pos="176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B91" w:rsidRPr="00FA533E" w:rsidTr="00643C2E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  <w:sz w:val="18"/>
                <w:szCs w:val="18"/>
              </w:rPr>
              <w:t>RESULTADO 2.1:</w:t>
            </w:r>
            <w:r w:rsidRPr="00FA5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533E">
              <w:rPr>
                <w:rFonts w:ascii="Arial" w:hAnsi="Arial" w:cs="Arial"/>
                <w:sz w:val="18"/>
                <w:szCs w:val="18"/>
              </w:rPr>
              <w:lastRenderedPageBreak/>
              <w:t>Estudiantes de EBR  utilizan los saberes productivos y culturales ancestrales, los recursos naturales de la zona y el folklore de la comunidad.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5"/>
              </w:tabs>
              <w:spacing w:before="0" w:after="0"/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lastRenderedPageBreak/>
              <w:t xml:space="preserve">80% de estudiantes de educación </w:t>
            </w:r>
            <w:r w:rsidRPr="00FA533E">
              <w:rPr>
                <w:rFonts w:ascii="Arial" w:hAnsi="Arial" w:cs="Arial"/>
                <w:sz w:val="18"/>
                <w:szCs w:val="18"/>
              </w:rPr>
              <w:lastRenderedPageBreak/>
              <w:t>secundaria desarrollan sus capacidades, habilidades, destrezas y actitudes a partir de aprendizajes de carácter productivo e intercultural.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5"/>
              </w:tabs>
              <w:spacing w:before="0" w:after="0"/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70% de estudiantes de educación inicial y primaria han iniciado su aprendizaje, empleando procesos y actividades productivas e interculturales, a partir de la ejecución de proyecto de aprendizaje.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23" w:hanging="284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lastRenderedPageBreak/>
              <w:t>Plan de seguimiento y asesoramiento.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23" w:hanging="284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lastRenderedPageBreak/>
              <w:t>Informe del seguimiento y asesoramiento del desempeño docente.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23" w:hanging="284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Proyectos de aprendizaje exitosos por institución educativa.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23" w:hanging="284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Proyectos productivos presentado por los estudiantes.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lastRenderedPageBreak/>
              <w:t xml:space="preserve">Políticas educativas nacionales y regionales que </w:t>
            </w:r>
            <w:r w:rsidRPr="00FA533E">
              <w:rPr>
                <w:rFonts w:ascii="Arial" w:hAnsi="Arial" w:cs="Arial"/>
                <w:sz w:val="18"/>
                <w:szCs w:val="18"/>
              </w:rPr>
              <w:lastRenderedPageBreak/>
              <w:t>auspician la implementación productiva e intercultural en las II.EE. rurales.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Alta expectativa de docentes, estudiantes y padres de familia por la educación productiva e intercultural.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4"/>
              </w:numPr>
              <w:spacing w:before="0" w:after="0"/>
              <w:ind w:left="269" w:hanging="283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Resistencia de algunos padres de familia a la enseñanza en quechua y a la difusión de la cultura de la comunidad.</w:t>
            </w:r>
          </w:p>
          <w:p w:rsidR="00777B91" w:rsidRPr="001A0B26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Recursos naturales y saberes productivo-culturales de la comunidad latentes.</w:t>
            </w:r>
          </w:p>
        </w:tc>
      </w:tr>
      <w:tr w:rsidR="00777B91" w:rsidRPr="00FA533E" w:rsidTr="00643C2E">
        <w:trPr>
          <w:trHeight w:val="349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RESULTADO 3.1:</w:t>
            </w:r>
            <w:r w:rsidRPr="00FA533E">
              <w:rPr>
                <w:rFonts w:ascii="Arial" w:hAnsi="Arial" w:cs="Arial"/>
                <w:sz w:val="18"/>
                <w:szCs w:val="18"/>
              </w:rPr>
              <w:t xml:space="preserve"> Unidades Productivas emprendedoras  gestionadas por sus comités articuladas a mercados locales y regionales.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5"/>
              </w:tabs>
              <w:spacing w:before="0" w:after="0"/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100% de II.EE. de educación secundaria  cuentan con un módulo productivo en funcionamiento al concluir el  primer semestre del año lectivo 2013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5"/>
              </w:tabs>
              <w:spacing w:before="0" w:after="0"/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03 Unidades de negocio asociativos de cuyes comercializan sus productos a partir del primer semestre del año lectivo 2013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5"/>
              </w:tabs>
              <w:spacing w:before="0" w:after="0"/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02 Unidades de negocio asociativos comercializan productos de artesanía textil al concluir el primer semestre del año lectivo 2013 </w:t>
            </w:r>
          </w:p>
          <w:p w:rsidR="00777B91" w:rsidRPr="00FA533E" w:rsidRDefault="00777B91" w:rsidP="00643C2E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Acta de entrega de tres módulos  de producción de crianza de cuyes.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Acta de entrega de materiales e insumos para los seis centros de artesanía textil, para su producción a  escala de comercialización.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Acta de implementación y ampliación del </w:t>
            </w:r>
            <w:proofErr w:type="spellStart"/>
            <w:r w:rsidRPr="00FA533E">
              <w:rPr>
                <w:rFonts w:ascii="Arial" w:hAnsi="Arial" w:cs="Arial"/>
                <w:sz w:val="18"/>
                <w:szCs w:val="18"/>
              </w:rPr>
              <w:t>fitotoldo</w:t>
            </w:r>
            <w:proofErr w:type="spellEnd"/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Registros internos de producción por unidad productiva.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Acta de constitución de unidades de negocio.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ventas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proveedores</w:t>
            </w:r>
          </w:p>
          <w:p w:rsidR="00777B91" w:rsidRPr="00FA533E" w:rsidRDefault="00777B91" w:rsidP="00643C2E">
            <w:pPr>
              <w:tabs>
                <w:tab w:val="left" w:pos="223"/>
              </w:tabs>
              <w:ind w:left="223"/>
              <w:rPr>
                <w:rFonts w:ascii="Arial" w:hAnsi="Arial" w:cs="Arial"/>
                <w:sz w:val="18"/>
                <w:szCs w:val="18"/>
              </w:rPr>
            </w:pPr>
          </w:p>
          <w:p w:rsidR="00777B91" w:rsidRPr="00FA533E" w:rsidRDefault="00777B91" w:rsidP="00643C2E">
            <w:pPr>
              <w:tabs>
                <w:tab w:val="left" w:pos="223"/>
              </w:tabs>
              <w:ind w:left="2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Puntos de venta de los productos de los módulos con evidente crecimiento.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Participación en ferias locales y regionales con oferta de sus productos.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Interés en actividades comerciales emprendedoras en los actores educativos.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355" w:hanging="3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Las II.EE. del nivel secundario cuentan con módulos de producción implementados para desarrollar los procesos de comercialización.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355" w:hanging="3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Los Comités de Gestión de cada II.EE. del nivel secundario son emprendedores en negocios.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355" w:hanging="3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En cada comunidad en la que se ubica las II:EE secundaria no existen centros de acopio</w:t>
            </w:r>
          </w:p>
          <w:p w:rsidR="00777B91" w:rsidRPr="001A0B26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69"/>
              </w:tabs>
              <w:spacing w:before="0" w:after="0"/>
              <w:ind w:left="355" w:hanging="369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Los docentes y estudiantes predispuestos a desarrollar actividades productivas y de comercialización en el marco de la identidad cultural y lingüística.</w:t>
            </w:r>
          </w:p>
        </w:tc>
      </w:tr>
      <w:tr w:rsidR="00777B91" w:rsidRPr="00FA533E" w:rsidTr="00643C2E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  <w:sz w:val="18"/>
                <w:szCs w:val="18"/>
              </w:rPr>
              <w:t>RESULTADO 4.1:</w:t>
            </w:r>
            <w:r w:rsidRPr="00FA533E">
              <w:rPr>
                <w:rFonts w:ascii="Arial" w:hAnsi="Arial" w:cs="Arial"/>
                <w:sz w:val="18"/>
                <w:szCs w:val="18"/>
              </w:rPr>
              <w:t xml:space="preserve"> Comités de Gestión integrados por actores educativos, representantes de las comunidades,  son promotores de la gestión  de proyectos productivos con enfoque EPIB en instituciones educativas.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5"/>
              </w:tabs>
              <w:spacing w:before="0" w:after="0"/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100% de comités de gestión capacitados con capacidad emprendedora con la Metodología del </w:t>
            </w:r>
            <w:r w:rsidRPr="00FA533E">
              <w:rPr>
                <w:rFonts w:ascii="Arial" w:hAnsi="Arial" w:cs="Arial"/>
                <w:b/>
                <w:i/>
                <w:sz w:val="18"/>
                <w:szCs w:val="18"/>
              </w:rPr>
              <w:t>Desarrollo de las Características Empresariales Personales - CEFE</w:t>
            </w:r>
            <w:r w:rsidRPr="00FA533E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FA533E">
              <w:rPr>
                <w:rFonts w:ascii="Arial" w:hAnsi="Arial" w:cs="Arial"/>
                <w:i/>
                <w:sz w:val="18"/>
                <w:szCs w:val="18"/>
              </w:rPr>
              <w:t>Aprender Haciendo</w:t>
            </w:r>
            <w:r w:rsidRPr="00FA533E">
              <w:rPr>
                <w:rFonts w:ascii="Arial" w:hAnsi="Arial" w:cs="Arial"/>
                <w:sz w:val="18"/>
                <w:szCs w:val="18"/>
              </w:rPr>
              <w:t>”, comercializan sus productos en el mercado local y regional, al concluir el primer semestre del año 2013.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5"/>
              </w:tabs>
              <w:spacing w:before="0" w:after="0"/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100% de comité de gestión cuentan con planes de negocios y con capacidad de acumulación auto sostenible, al culminar el primer semestre del año 2013.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Registro de  certificación en gestión productiva.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Informe de gestión de cada uno  de los módulos de producción.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Plan de trabajo de comité de gestión de unidades de emprendimiento empresariales.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Informe de cumplimiento de actividades de los  Comités de gestión según el plan de trabajo aprobado.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Plan de capacitación con metodología CEFE “Aprender Haciendo”.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Informe del proceso de capacitación con la metodología CEFE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Plan de capacitación en comercialización.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223"/>
              </w:tabs>
              <w:spacing w:before="0" w:after="0"/>
              <w:ind w:left="223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lastRenderedPageBreak/>
              <w:t>Informe del proceso de comercialización-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lastRenderedPageBreak/>
              <w:t>Ordenanza regional que faculta a los padres de familia y autoridades a intervenir en el control patrimonial de las II.EE.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Presencia de proyectos que demandan la intervención organizada de los comuneros.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Escaso liderazgo en las II-EE,  </w:t>
            </w:r>
            <w:proofErr w:type="spellStart"/>
            <w:r w:rsidRPr="00FA533E">
              <w:rPr>
                <w:rFonts w:ascii="Arial" w:hAnsi="Arial" w:cs="Arial"/>
                <w:sz w:val="18"/>
                <w:szCs w:val="18"/>
              </w:rPr>
              <w:t>CONEIs</w:t>
            </w:r>
            <w:proofErr w:type="spellEnd"/>
            <w:r w:rsidRPr="00FA533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A533E">
              <w:rPr>
                <w:rFonts w:ascii="Arial" w:hAnsi="Arial" w:cs="Arial"/>
                <w:sz w:val="18"/>
                <w:szCs w:val="18"/>
              </w:rPr>
              <w:t>APAFAs</w:t>
            </w:r>
            <w:proofErr w:type="spellEnd"/>
            <w:r w:rsidRPr="00FA533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Disponibilidad de tiempo de los miembros de Comités de Gestión. </w:t>
            </w:r>
          </w:p>
          <w:p w:rsidR="00777B91" w:rsidRPr="00FA533E" w:rsidRDefault="00777B91" w:rsidP="00643C2E">
            <w:pPr>
              <w:tabs>
                <w:tab w:val="left" w:pos="176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B91" w:rsidRPr="00FA533E" w:rsidTr="00643C2E"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7B91" w:rsidRPr="00FA533E" w:rsidRDefault="00777B91" w:rsidP="00643C2E">
            <w:pPr>
              <w:tabs>
                <w:tab w:val="left" w:pos="355"/>
              </w:tabs>
              <w:rPr>
                <w:rFonts w:ascii="Arial" w:hAnsi="Arial" w:cs="Arial"/>
                <w:b/>
                <w:bCs/>
              </w:rPr>
            </w:pPr>
            <w:r w:rsidRPr="00FA533E">
              <w:rPr>
                <w:rFonts w:ascii="Arial" w:hAnsi="Arial" w:cs="Arial"/>
                <w:b/>
                <w:bCs/>
              </w:rPr>
              <w:lastRenderedPageBreak/>
              <w:t>ACTIVIDADES</w:t>
            </w:r>
          </w:p>
        </w:tc>
      </w:tr>
      <w:tr w:rsidR="00777B91" w:rsidRPr="00FA533E" w:rsidTr="00643C2E"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7B91" w:rsidRPr="00FA533E" w:rsidRDefault="00777B91" w:rsidP="00643C2E">
            <w:pPr>
              <w:tabs>
                <w:tab w:val="left" w:pos="355"/>
              </w:tabs>
              <w:rPr>
                <w:rFonts w:ascii="Arial" w:hAnsi="Arial" w:cs="Arial"/>
                <w:b/>
                <w:bCs/>
              </w:rPr>
            </w:pPr>
            <w:r w:rsidRPr="00FA533E">
              <w:rPr>
                <w:rFonts w:ascii="Arial" w:hAnsi="Arial" w:cs="Arial"/>
                <w:b/>
                <w:bCs/>
              </w:rPr>
              <w:t>Actividades del Resultado 1.1.</w:t>
            </w:r>
          </w:p>
        </w:tc>
      </w:tr>
      <w:tr w:rsidR="00777B91" w:rsidRPr="00FA533E" w:rsidTr="00643C2E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Actividad 1.1.1:</w:t>
            </w:r>
            <w:r w:rsidRPr="00FA533E">
              <w:rPr>
                <w:rFonts w:ascii="Arial" w:hAnsi="Arial" w:cs="Arial"/>
                <w:sz w:val="18"/>
                <w:szCs w:val="18"/>
                <w:lang w:eastAsia="es-PE"/>
              </w:rPr>
              <w:t xml:space="preserve"> Estudiantes  de  formación docente de la especialidad de Educación Inicial y Primaria EIB del IESPPH desarrollan prácticas profesionales mediante sistema de internado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  <w:tab w:val="left" w:pos="263"/>
              </w:tabs>
              <w:spacing w:before="0" w:after="0"/>
              <w:ind w:left="263" w:hanging="26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alumnos en formación docente  de los niveles inicial y primaria EIB del IESPPH desarrollan prácticas pre profesionales  en educación productiva y EIB  mediante sistema de internado durante 2 meses, a través de la elaboración y aplicación de instrumentos de investigación, durante el primer semestre del año 2013.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Plan de  prácticas pre profesionales con sistema de  internado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Matriz de validación de instrumentos de recojo de información.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Informe del proceso y  culminación  de las prácticas pre profesional.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Publicación de las experiencias exitosas.</w:t>
            </w:r>
          </w:p>
          <w:p w:rsidR="00777B91" w:rsidRPr="00FA533E" w:rsidRDefault="00777B91" w:rsidP="00643C2E">
            <w:pPr>
              <w:pStyle w:val="Prrafodelista"/>
              <w:spacing w:after="0"/>
              <w:ind w:left="176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Predisposición de estudiantes  y docentes del </w:t>
            </w:r>
            <w:proofErr w:type="gramStart"/>
            <w:r w:rsidRPr="00FA533E">
              <w:rPr>
                <w:rFonts w:ascii="Arial" w:hAnsi="Arial" w:cs="Arial"/>
                <w:sz w:val="18"/>
                <w:szCs w:val="18"/>
              </w:rPr>
              <w:t>IESPPH ,</w:t>
            </w:r>
            <w:proofErr w:type="gramEnd"/>
            <w:r w:rsidRPr="00FA533E">
              <w:rPr>
                <w:rFonts w:ascii="Arial" w:hAnsi="Arial" w:cs="Arial"/>
                <w:sz w:val="18"/>
                <w:szCs w:val="18"/>
              </w:rPr>
              <w:t xml:space="preserve"> para la ejecución  de la práctica pre profesional en la modalidad de internado.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Carencia de ambientes adecuados para albergar a los estudiantes. 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Actitud positiva y de apoyo al proyecto por parte de las autoridades educativas de la región</w:t>
            </w:r>
          </w:p>
        </w:tc>
      </w:tr>
      <w:tr w:rsidR="00777B91" w:rsidRPr="00FA533E" w:rsidTr="00643C2E">
        <w:trPr>
          <w:trHeight w:val="706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Actividad 1.1.2:</w:t>
            </w:r>
            <w:r w:rsidRPr="00FA533E">
              <w:rPr>
                <w:rFonts w:ascii="Arial" w:hAnsi="Arial" w:cs="Arial"/>
                <w:sz w:val="18"/>
                <w:szCs w:val="18"/>
                <w:lang w:eastAsia="es-PE"/>
              </w:rPr>
              <w:t xml:space="preserve"> Diplomado de Especialización a docentes del IESPPH  en “Proyectos Educativos de Inversión  Pública”.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  <w:tab w:val="left" w:pos="263"/>
              </w:tabs>
              <w:spacing w:before="0" w:after="0"/>
              <w:ind w:left="263" w:hanging="26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28 docentes desarrollan investigación en educación productiva e EIB asistidos con un diplomado de especialización en elaboración de proyectos de inversión e investigación y publican sus trabajos de investigación</w:t>
            </w:r>
            <w:r w:rsidRPr="00FA533E">
              <w:rPr>
                <w:rFonts w:ascii="Arial" w:hAnsi="Arial" w:cs="Arial"/>
                <w:sz w:val="18"/>
                <w:szCs w:val="18"/>
              </w:rPr>
              <w:t>, al término del primer semestre del año 2013.</w:t>
            </w:r>
            <w:r w:rsidRPr="00FA533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 xml:space="preserve">Plan de especialización en proyectos de inversión e investigación 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Registro de Asistencia de los docentes al diplomado de especialización.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Registro de publicación de trabajos de investigación desarrollados.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0" w:after="0"/>
              <w:ind w:left="282" w:hanging="2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Docentes del IESPPH con experiencia en educación productiva y EIB-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0" w:after="0"/>
              <w:ind w:left="282" w:hanging="2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Carencia de material bibliográfico en educación productiva en EIB.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0" w:after="0"/>
              <w:ind w:left="282" w:hanging="2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Docentes del IESPPH,  especializados en proyectos de inversión e investigación</w:t>
            </w:r>
          </w:p>
        </w:tc>
      </w:tr>
      <w:tr w:rsidR="00777B91" w:rsidRPr="00FA533E" w:rsidTr="00643C2E">
        <w:trPr>
          <w:trHeight w:val="1108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FA533E">
              <w:rPr>
                <w:rFonts w:ascii="Arial" w:hAnsi="Arial" w:cs="Arial"/>
                <w:b/>
                <w:sz w:val="18"/>
                <w:szCs w:val="18"/>
                <w:lang w:eastAsia="es-PE"/>
              </w:rPr>
              <w:t xml:space="preserve">Actividad 1.1.3: </w:t>
            </w:r>
            <w:r w:rsidRPr="00FA533E">
              <w:rPr>
                <w:rFonts w:ascii="Arial" w:hAnsi="Arial" w:cs="Arial"/>
                <w:sz w:val="18"/>
                <w:szCs w:val="18"/>
                <w:lang w:eastAsia="es-PE"/>
              </w:rPr>
              <w:t>Instalación de la biblioteca especializada en educación productiva EIB en el IESPPH</w:t>
            </w:r>
            <w:r w:rsidRPr="00FA533E">
              <w:rPr>
                <w:rFonts w:ascii="Arial" w:hAnsi="Arial" w:cs="Arial"/>
                <w:b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  <w:tab w:val="left" w:pos="263"/>
              </w:tabs>
              <w:spacing w:before="0" w:after="0"/>
              <w:ind w:left="263" w:hanging="26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01 Biblioteca especializada debidamente implementada con 100 textos, 25 </w:t>
            </w:r>
            <w:proofErr w:type="spellStart"/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CDs</w:t>
            </w:r>
            <w:proofErr w:type="spellEnd"/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, una computadora y un proyector multimedia; que brinde servicios  a docentes y estudiantes en temas relacionadas a educación productiva EIB, al término del  año 2012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Acta de entrega de  la biblioteca especializada.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Plan de funcionamiento de la biblioteca especializada.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Informe de funcionamiento de la biblioteca especializada.</w:t>
            </w:r>
          </w:p>
          <w:p w:rsidR="00777B91" w:rsidRPr="00FA533E" w:rsidRDefault="00777B91" w:rsidP="00643C2E">
            <w:pPr>
              <w:pStyle w:val="Prrafodelista"/>
              <w:spacing w:after="0"/>
              <w:ind w:left="36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El IESPPH cuenta con ambientes para la implementación de la biblioteca especializada,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Carencia de hábitos de lectura  en un porcentaje significativo, en los estudiantes del IESPPH.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Docentes  que disponen de bibliografía especializada en educación productiva y EIB</w:t>
            </w:r>
          </w:p>
        </w:tc>
      </w:tr>
      <w:tr w:rsidR="00777B91" w:rsidRPr="00FA533E" w:rsidTr="00643C2E">
        <w:trPr>
          <w:trHeight w:val="1108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FA533E">
              <w:rPr>
                <w:rFonts w:ascii="Arial" w:hAnsi="Arial" w:cs="Arial"/>
                <w:b/>
                <w:sz w:val="18"/>
                <w:szCs w:val="18"/>
                <w:lang w:eastAsia="es-PE"/>
              </w:rPr>
              <w:t xml:space="preserve">Actividad 1.1.4: </w:t>
            </w:r>
            <w:r w:rsidRPr="00FA533E">
              <w:rPr>
                <w:rFonts w:ascii="Arial" w:hAnsi="Arial" w:cs="Arial"/>
                <w:sz w:val="18"/>
                <w:szCs w:val="18"/>
                <w:lang w:eastAsia="es-PE"/>
              </w:rPr>
              <w:t>Instalación e implementación de los módulos  productivos experimentales en el IESPPH.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  <w:tab w:val="left" w:pos="263"/>
              </w:tabs>
              <w:spacing w:before="0" w:after="0"/>
              <w:ind w:left="263" w:hanging="26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03 módulos productivos experimentales  (01 galpón de crianza de cuyes, 01 de  artesanía textil y 01 </w:t>
            </w:r>
            <w:proofErr w:type="spellStart"/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fitotoldo</w:t>
            </w:r>
            <w:proofErr w:type="spellEnd"/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), instalados  e implementados adecuadamente, al término del año 2012.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Acta de  instalación e implementación de tres módulos productivos experimentales en el IESPPH.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Acta de entrega de los módulos productivos experimentales</w:t>
            </w:r>
          </w:p>
          <w:p w:rsidR="00777B91" w:rsidRPr="00FA533E" w:rsidRDefault="00777B91" w:rsidP="00643C2E">
            <w:pPr>
              <w:pStyle w:val="Prrafodelista"/>
              <w:spacing w:after="0"/>
              <w:ind w:left="-108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El IESPPH cuenta con ambientes para la instalación e implementación de módulos productivos experimentales.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Escasa experiencia del personal administrativo para el mantenimiento de los módulos productivos.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Política educativa del IESPPH, que fomenta el desarrollo de la educación  productiva y de EIB. </w:t>
            </w:r>
          </w:p>
        </w:tc>
      </w:tr>
      <w:tr w:rsidR="00777B91" w:rsidRPr="00FA533E" w:rsidTr="00643C2E">
        <w:trPr>
          <w:trHeight w:val="1108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FA533E">
              <w:rPr>
                <w:rFonts w:ascii="Arial" w:hAnsi="Arial" w:cs="Arial"/>
                <w:b/>
                <w:sz w:val="18"/>
                <w:szCs w:val="18"/>
                <w:lang w:eastAsia="es-PE"/>
              </w:rPr>
              <w:t xml:space="preserve">Actividad 1.1.5: </w:t>
            </w:r>
            <w:r w:rsidRPr="00FA533E">
              <w:rPr>
                <w:rFonts w:ascii="Arial" w:hAnsi="Arial" w:cs="Arial"/>
                <w:sz w:val="18"/>
                <w:szCs w:val="18"/>
                <w:lang w:eastAsia="es-PE"/>
              </w:rPr>
              <w:t>Reconocimiento oficial del IESPPH como institución de formación continua regional en EPIB (Educación Intercultural Bilingüe)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  <w:tab w:val="left" w:pos="263"/>
              </w:tabs>
              <w:spacing w:before="0" w:after="0"/>
              <w:ind w:left="263" w:hanging="26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Resolución del Gobierno Regional de reconocimiento oficial </w:t>
            </w:r>
            <w:r w:rsidRPr="00FA533E">
              <w:rPr>
                <w:rFonts w:ascii="Arial" w:hAnsi="Arial" w:cs="Arial"/>
                <w:sz w:val="18"/>
                <w:szCs w:val="18"/>
                <w:lang w:eastAsia="es-PE"/>
              </w:rPr>
              <w:t>del IESPPH como institución de formación continua regional en EPIB (Educación Intercultural Bilingüe), al término del primer semestre del año 2013.</w:t>
            </w: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 xml:space="preserve">Proyecto para el </w:t>
            </w: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 xml:space="preserve">reconocimiento oficial </w:t>
            </w:r>
            <w:r w:rsidRPr="00FA533E">
              <w:rPr>
                <w:rFonts w:ascii="Arial" w:hAnsi="Arial" w:cs="Arial"/>
                <w:sz w:val="18"/>
                <w:szCs w:val="18"/>
                <w:lang w:eastAsia="es-PE"/>
              </w:rPr>
              <w:t>del IESPPH como institución de formación continua regional en EPIB (Educación Intercultural Bilingüe).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Resolución de reconocimiento oficial del Gobierno Regional a</w:t>
            </w:r>
            <w:r w:rsidRPr="00FA533E">
              <w:rPr>
                <w:rFonts w:ascii="Arial" w:hAnsi="Arial" w:cs="Arial"/>
                <w:sz w:val="18"/>
                <w:szCs w:val="18"/>
                <w:lang w:eastAsia="es-PE"/>
              </w:rPr>
              <w:t xml:space="preserve">l IESPPH como institución de formación continua regional </w:t>
            </w:r>
            <w:r w:rsidRPr="00FA533E">
              <w:rPr>
                <w:rFonts w:ascii="Arial" w:hAnsi="Arial" w:cs="Arial"/>
                <w:sz w:val="18"/>
                <w:szCs w:val="18"/>
                <w:lang w:eastAsia="es-PE"/>
              </w:rPr>
              <w:lastRenderedPageBreak/>
              <w:t>en EPIB (Educación Intercultural Bilingüe)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lastRenderedPageBreak/>
              <w:t xml:space="preserve"> Políticas regionales que incentivan la educación productiva e Intercultural Bilingüe en el Marco del Proyecto Educativo Regional de Huancavelica.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Docentes del IESPPH, con experiencia en la formulación de proyectos.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IESPPH, fortalecido y reconocido como Institución de formación continua regional en EPIB.  </w:t>
            </w:r>
          </w:p>
        </w:tc>
      </w:tr>
      <w:tr w:rsidR="00777B91" w:rsidRPr="00FA533E" w:rsidTr="00643C2E">
        <w:trPr>
          <w:trHeight w:val="276"/>
        </w:trPr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Default="00777B91" w:rsidP="00643C2E">
            <w:pPr>
              <w:tabs>
                <w:tab w:val="left" w:pos="355"/>
              </w:tabs>
              <w:rPr>
                <w:rFonts w:ascii="Arial" w:hAnsi="Arial" w:cs="Arial"/>
                <w:b/>
                <w:bCs/>
              </w:rPr>
            </w:pPr>
          </w:p>
          <w:p w:rsidR="00777B91" w:rsidRPr="00FA533E" w:rsidRDefault="00777B91" w:rsidP="00643C2E">
            <w:pPr>
              <w:tabs>
                <w:tab w:val="left" w:pos="355"/>
              </w:tabs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</w:rPr>
              <w:t>Actividades del Resultado 2.1.</w:t>
            </w:r>
          </w:p>
        </w:tc>
      </w:tr>
      <w:tr w:rsidR="00777B91" w:rsidRPr="00FA533E" w:rsidTr="00643C2E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Actividad 2.1.1:</w:t>
            </w:r>
            <w:r w:rsidRPr="00FA533E">
              <w:rPr>
                <w:rFonts w:ascii="Arial" w:hAnsi="Arial" w:cs="Arial"/>
                <w:sz w:val="18"/>
                <w:szCs w:val="18"/>
                <w:lang w:eastAsia="es-PE"/>
              </w:rPr>
              <w:t xml:space="preserve"> Acompañamiento y monitoreo de los  Procesos Pedagógicos aplicando el enfoque de Educación Productiva y EIB, a partir de la implementación y aplicación del Programa Curricular Diversificado, Programación Anual y Proyectos de Aprendizaje (Cartillas Pedagógicas).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5"/>
              </w:tabs>
              <w:spacing w:before="0" w:after="0"/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60 % de docentes de educación básica regular utilizan proyectos productivos como espacios para la enseñanza de sus educandos, a partir del primer semestre del año 2013.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5"/>
              </w:tabs>
              <w:spacing w:before="0" w:after="0"/>
              <w:ind w:left="139" w:hanging="283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 80% de docentes de EBR monitoreados y asesorados por el equipo de capacitadores-monitores en la formulación y aplicación de proyectos productivos en los procesos pedagógicos, al concluir el segundo semestre del 2013.</w:t>
            </w:r>
          </w:p>
          <w:p w:rsidR="00777B91" w:rsidRPr="00FA533E" w:rsidRDefault="00777B91" w:rsidP="00643C2E">
            <w:pPr>
              <w:ind w:left="139"/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Archivo de portafolios docentes entregados semestralmente.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Ficha de análisis de consistencia y pertinencia de proyectos productivos.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Ficha de observación selectiva y periódica del desarrollo de los proyectos productivos en las II.EE.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Informe anual de la gestión pedagógica a nivel de aula y de institución educativa.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 xml:space="preserve">Plan de visita de los capacitadores-monitores de las acciones de seguimiento. </w:t>
            </w:r>
          </w:p>
          <w:p w:rsidR="00777B91" w:rsidRDefault="00777B91" w:rsidP="00777B91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40" w:hanging="228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Informe diario de los capacitadores-monitores de las salidas teniendo en cuenta las rutas programadas en el plan respectivo sobre el trabajo pedagógico realizados en aula.</w:t>
            </w:r>
          </w:p>
          <w:p w:rsidR="00777B91" w:rsidRDefault="00777B91" w:rsidP="00643C2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777B91" w:rsidRPr="00FA533E" w:rsidRDefault="00777B91" w:rsidP="00643C2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Actitud positiva y de apoyo al proyecto por parte de las autoridades educativas de la región.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Docentes de EBR capacitados en educación productiva y EIB.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Instituciones educativas ubicadas en ámbitos geográficos distantes.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Las Instituciones educativas de educación secundaria cuentan con módulos productivos instalados.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Estudiantes de educación secundaria que han desarrollado capacidades productivas y emprendedoras.</w:t>
            </w:r>
          </w:p>
        </w:tc>
      </w:tr>
      <w:tr w:rsidR="00777B91" w:rsidRPr="00FA533E" w:rsidTr="00643C2E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2.1.2: </w:t>
            </w:r>
            <w:r w:rsidRPr="00FA533E">
              <w:rPr>
                <w:rFonts w:ascii="Arial" w:hAnsi="Arial" w:cs="Arial"/>
                <w:bCs/>
                <w:sz w:val="18"/>
                <w:szCs w:val="18"/>
              </w:rPr>
              <w:t>Docentes de educación secundaria capacitados en tecnología productiva y comercialización, con énfasis en EIB, validan el Diseño Curricular Diversificado de Educación Secundaria con enfoque EPIB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75"/>
              </w:tabs>
              <w:spacing w:before="0" w:after="0"/>
              <w:ind w:left="175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80% de docentes de educación secundaria capacitados y asistidos técnicamente en educación productiva y comercialización en énfasis en EIB, al concluir el  año 2012, quienes validan el Diseño Curricular Diversificado de Educación Secundaria con enfoque EPIB</w:t>
            </w:r>
          </w:p>
          <w:p w:rsidR="00777B91" w:rsidRPr="00FA533E" w:rsidRDefault="00777B91" w:rsidP="00643C2E">
            <w:pPr>
              <w:pStyle w:val="Prrafodelist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after="0"/>
              <w:ind w:left="23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Plan de capacitación en tecnología productiva y comercialización en enfoque EIB.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Registro de asistencia a los eventos de capacitación.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Registro de evaluación de aprendizajes de los docentes participantes.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Informes semestrales de las actividades de capacitación realizadas.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Informe final del proceso de capacitación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Acta de constitución de la asociación empresarial y comercialización.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Informe de los docentes sobre la consistencia de la propuesta curricular diversificada para su respectiva validación.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 xml:space="preserve">Sistematización del proceso de validación </w:t>
            </w: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lastRenderedPageBreak/>
              <w:t>del DCD e informe</w:t>
            </w:r>
          </w:p>
          <w:p w:rsidR="00777B91" w:rsidRDefault="00777B91" w:rsidP="00777B91">
            <w:pPr>
              <w:pStyle w:val="Prrafodelista"/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 xml:space="preserve">Resolución de validación del DCD emitida por la UGELH </w:t>
            </w:r>
          </w:p>
          <w:p w:rsidR="00777B91" w:rsidRDefault="00777B91" w:rsidP="00643C2E">
            <w:pPr>
              <w:pStyle w:val="Prrafodelista"/>
              <w:spacing w:before="0" w:after="0"/>
              <w:ind w:left="176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777B91" w:rsidRPr="00FA533E" w:rsidRDefault="00777B91" w:rsidP="00643C2E">
            <w:pPr>
              <w:pStyle w:val="Prrafodelista"/>
              <w:spacing w:before="0" w:after="0"/>
              <w:ind w:left="176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0" w:after="0"/>
              <w:ind w:left="282" w:hanging="2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lastRenderedPageBreak/>
              <w:t>Predisposición de los docentes de Educación secundaria en la constitución de actividades empresariales y comerciales.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0" w:after="0"/>
              <w:ind w:left="282" w:hanging="2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Poca disposición de espacios de tiempo de los docentes  para la ejecución de los procesos de capacitación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0" w:after="0"/>
              <w:ind w:left="282" w:hanging="2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Docentes que comercializan los productos  producidos en  los módulos de producción.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0" w:after="0"/>
              <w:ind w:left="282" w:hanging="2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Predisposición de las autoridades educativas por la ejecución de una educación emprendedora.</w:t>
            </w:r>
          </w:p>
        </w:tc>
      </w:tr>
      <w:tr w:rsidR="00777B91" w:rsidRPr="00FA533E" w:rsidTr="00643C2E"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77B91" w:rsidRPr="00FA533E" w:rsidRDefault="00777B91" w:rsidP="00643C2E">
            <w:pPr>
              <w:tabs>
                <w:tab w:val="left" w:pos="355"/>
              </w:tabs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</w:rPr>
              <w:lastRenderedPageBreak/>
              <w:t>Actividades del Resultado 3.1.</w:t>
            </w:r>
          </w:p>
        </w:tc>
      </w:tr>
      <w:tr w:rsidR="00777B91" w:rsidRPr="00FA533E" w:rsidTr="00643C2E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643C2E">
            <w:pPr>
              <w:tabs>
                <w:tab w:val="left" w:pos="355"/>
              </w:tabs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3.1.1: </w:t>
            </w:r>
            <w:r w:rsidRPr="00FA533E">
              <w:rPr>
                <w:rFonts w:ascii="Arial" w:hAnsi="Arial" w:cs="Arial"/>
                <w:bCs/>
                <w:sz w:val="18"/>
                <w:szCs w:val="18"/>
              </w:rPr>
              <w:t>Fortalecimiento de unidades productivas en las 10 instituciones educativas de educación secundaria del cono norte de la provincia de Huancavelica e instalación e implementación de 03 módulos de producción de crianza de cuyes y 02 de artesanía textil en instituciones seleccionadas</w:t>
            </w:r>
            <w:r w:rsidRPr="00FA533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77B91" w:rsidRPr="00FA533E" w:rsidRDefault="00777B91" w:rsidP="00643C2E">
            <w:pPr>
              <w:tabs>
                <w:tab w:val="left" w:pos="3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5"/>
              </w:numPr>
              <w:tabs>
                <w:tab w:val="left" w:pos="127"/>
              </w:tabs>
              <w:spacing w:before="0" w:after="0"/>
              <w:ind w:left="127" w:hanging="235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10 Instituciones Educativas de Educación Secundaria del Cono Norte de la Provincia de Huancavelica, cuentan con un módulo productivo, cada uno mejorado y ampliado, al finalizar el segundo semestre del año 2012.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5"/>
              </w:numPr>
              <w:tabs>
                <w:tab w:val="left" w:pos="127"/>
              </w:tabs>
              <w:spacing w:before="0" w:after="0"/>
              <w:ind w:left="127" w:hanging="235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Seguimiento y asesoría permanente (dos visitas por mes) a los 10 módulos productivos en los sistemas de producción de cada línea productiva (Crianza de Cuyes, </w:t>
            </w:r>
            <w:proofErr w:type="spellStart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Fitotoldos</w:t>
            </w:r>
            <w:proofErr w:type="spellEnd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Artesanía textil) en las instituciones educativas de nivel secundaria.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5"/>
              </w:numPr>
              <w:tabs>
                <w:tab w:val="left" w:pos="90"/>
                <w:tab w:val="left" w:pos="127"/>
                <w:tab w:val="left" w:pos="231"/>
                <w:tab w:val="left" w:pos="355"/>
              </w:tabs>
              <w:spacing w:before="0" w:after="0"/>
              <w:ind w:left="127" w:hanging="235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Construcción de 02 galpones para la crianza de cuyes en las Instituciones Educativas Augusto Salazar </w:t>
            </w:r>
            <w:proofErr w:type="spellStart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Bondy</w:t>
            </w:r>
            <w:proofErr w:type="spellEnd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Manta, Miguel Grau Seminario de </w:t>
            </w:r>
            <w:proofErr w:type="spellStart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Anccapa</w:t>
            </w:r>
            <w:proofErr w:type="spellEnd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adecuación de un ambiente en el distrito de Vilca e </w:t>
            </w:r>
            <w:proofErr w:type="spellStart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implementacion</w:t>
            </w:r>
            <w:proofErr w:type="spellEnd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200 reproductoras hembras y 22 reproductores machos.  </w:t>
            </w:r>
          </w:p>
          <w:p w:rsidR="00777B91" w:rsidRPr="001A0B26" w:rsidRDefault="00777B91" w:rsidP="00777B91">
            <w:pPr>
              <w:pStyle w:val="Prrafodelista"/>
              <w:numPr>
                <w:ilvl w:val="0"/>
                <w:numId w:val="5"/>
              </w:numPr>
              <w:tabs>
                <w:tab w:val="left" w:pos="127"/>
                <w:tab w:val="left" w:pos="231"/>
              </w:tabs>
              <w:spacing w:before="0" w:after="0"/>
              <w:ind w:left="127" w:hanging="235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Mejoramiento y ampliación de 01 </w:t>
            </w:r>
            <w:proofErr w:type="spellStart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Fitotoldo</w:t>
            </w:r>
            <w:proofErr w:type="spellEnd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la Institución Educativa Cesar Vallejo de Viñas.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9"/>
              </w:numPr>
              <w:tabs>
                <w:tab w:val="left" w:pos="90"/>
                <w:tab w:val="left" w:pos="127"/>
              </w:tabs>
              <w:spacing w:before="0" w:after="0"/>
              <w:ind w:left="127" w:hanging="235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Adquisición de  09 telares artesanales, 03 urdidoras, 12 bastidores, 90 lanzaderas y materia prima para la elaboración de prendas de vestir para los 03 módulos de artesanía  en las Instituciones Educativa de San Francisco de Asís de </w:t>
            </w:r>
            <w:proofErr w:type="spellStart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Huayllahuara</w:t>
            </w:r>
            <w:proofErr w:type="spellEnd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 José Carlos Mariátegui de </w:t>
            </w:r>
            <w:proofErr w:type="spellStart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Huancalpi</w:t>
            </w:r>
            <w:proofErr w:type="spellEnd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Andrés Avelino Cáceres </w:t>
            </w:r>
            <w:proofErr w:type="spellStart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Dorregaray</w:t>
            </w:r>
            <w:proofErr w:type="spellEnd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Ccorisotocc</w:t>
            </w:r>
            <w:proofErr w:type="spellEnd"/>
            <w:r w:rsidRPr="00FA53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5"/>
              </w:numPr>
              <w:tabs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Acta de entrega de los módulos de producción.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5"/>
              </w:numPr>
              <w:tabs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Plan de mantenimiento e implementación de los módulos de producción.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5"/>
              </w:numPr>
              <w:tabs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Informe semestral y anual de funcionamiento de las unidades de producción.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41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Acta de entrega del terreno para cultivo de pastos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41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Acta de supervisión de mantenimiento del terreno y pastos cultivados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 w:after="0"/>
              <w:ind w:left="141" w:hanging="283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Acta de entrega de máquinas </w:t>
            </w:r>
            <w:proofErr w:type="spellStart"/>
            <w:r w:rsidRPr="00FA533E">
              <w:rPr>
                <w:rFonts w:ascii="Arial" w:hAnsi="Arial" w:cs="Arial"/>
                <w:sz w:val="18"/>
                <w:szCs w:val="18"/>
              </w:rPr>
              <w:t>recubridoras</w:t>
            </w:r>
            <w:proofErr w:type="spellEnd"/>
            <w:r w:rsidRPr="00FA533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5"/>
              </w:numPr>
              <w:tabs>
                <w:tab w:val="left" w:pos="176"/>
              </w:tabs>
              <w:spacing w:before="0" w:after="0"/>
              <w:ind w:left="176" w:hanging="284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Inventario de bienes de los módulos productivos.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5"/>
              </w:numPr>
              <w:tabs>
                <w:tab w:val="left" w:pos="176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Acta de entrega de los módulos productivos, materiales e insumos a los  comités de gestión de los proyectos productivo.</w:t>
            </w:r>
          </w:p>
          <w:p w:rsidR="00777B91" w:rsidRPr="00FA533E" w:rsidRDefault="00777B91" w:rsidP="0064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Participación activa de los Comités de Gestión de los Módulos de Producción.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Escasa participación de los actores educativos en el cuidado y mantenimiento de las unidades de producción.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Unidades de producción operando al 100% sus productos con gran demanda en los mercados.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Estudiantes de educación secundaria han desarrollado sus capacidades emprendedoras.</w:t>
            </w:r>
          </w:p>
          <w:p w:rsidR="00777B91" w:rsidRPr="00FA533E" w:rsidRDefault="00777B91" w:rsidP="00643C2E">
            <w:pPr>
              <w:tabs>
                <w:tab w:val="left" w:pos="355"/>
              </w:tabs>
              <w:ind w:left="28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B91" w:rsidRPr="00FA533E" w:rsidTr="00643C2E"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77B91" w:rsidRPr="00FA533E" w:rsidRDefault="00777B91" w:rsidP="00643C2E">
            <w:pPr>
              <w:rPr>
                <w:rFonts w:ascii="Arial" w:hAnsi="Arial" w:cs="Arial"/>
              </w:rPr>
            </w:pPr>
            <w:r w:rsidRPr="00FA533E">
              <w:rPr>
                <w:rFonts w:ascii="Arial" w:hAnsi="Arial" w:cs="Arial"/>
                <w:b/>
                <w:bCs/>
              </w:rPr>
              <w:t>Actividades del Resultado 4.1.</w:t>
            </w:r>
          </w:p>
        </w:tc>
      </w:tr>
      <w:tr w:rsidR="00777B91" w:rsidRPr="00FA533E" w:rsidTr="00643C2E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91" w:rsidRPr="00FA533E" w:rsidRDefault="00777B91" w:rsidP="00643C2E">
            <w:pPr>
              <w:tabs>
                <w:tab w:val="left" w:pos="355"/>
              </w:tabs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4.1.1: </w:t>
            </w:r>
            <w:r w:rsidRPr="00FA533E">
              <w:rPr>
                <w:rFonts w:ascii="Arial" w:hAnsi="Arial" w:cs="Arial"/>
                <w:bCs/>
                <w:sz w:val="18"/>
                <w:szCs w:val="18"/>
              </w:rPr>
              <w:t>Comités de Gestión comercializan sus productos en mercados locales y/o regionales; desarrollan exitosamente negocios  emprendedores.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6"/>
              </w:numPr>
              <w:tabs>
                <w:tab w:val="left" w:pos="175"/>
              </w:tabs>
              <w:spacing w:before="0" w:after="0"/>
              <w:ind w:left="175" w:hanging="28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10 Comités de Gestión adecuadamente  constituidos en las instituciones educativas beneficiarias cuentan con normas de operación y mantenimiento de los módulos productivos, al finalizar el año</w:t>
            </w:r>
            <w:r w:rsidRPr="00FA533E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t xml:space="preserve"> </w:t>
            </w: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2012.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6"/>
              </w:numPr>
              <w:tabs>
                <w:tab w:val="left" w:pos="175"/>
              </w:tabs>
              <w:spacing w:before="0" w:after="0"/>
              <w:ind w:left="175" w:hanging="28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 xml:space="preserve">05 Comités de Gestión comercializan sus </w:t>
            </w: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lastRenderedPageBreak/>
              <w:t xml:space="preserve">productos en mercados locales y regionales, a partir del primer semestre del año 2013.  </w:t>
            </w:r>
          </w:p>
          <w:p w:rsidR="00777B91" w:rsidRPr="00FA533E" w:rsidRDefault="00777B91" w:rsidP="00643C2E">
            <w:pPr>
              <w:pStyle w:val="Prrafodelista"/>
              <w:tabs>
                <w:tab w:val="left" w:pos="-108"/>
              </w:tabs>
              <w:spacing w:after="0"/>
              <w:ind w:left="175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6"/>
              </w:numPr>
              <w:tabs>
                <w:tab w:val="left" w:pos="158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lastRenderedPageBreak/>
              <w:t>Actas de gestión y compromisos del Comité de Gestión de los módulos productivos.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6"/>
              </w:numPr>
              <w:tabs>
                <w:tab w:val="left" w:pos="158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Plan de trabajo del Comité de Gestión de los módulos de producción.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6"/>
              </w:numPr>
              <w:tabs>
                <w:tab w:val="left" w:pos="158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Informe semestral y anual de gestión de los módulos de producción.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7"/>
              </w:numPr>
              <w:tabs>
                <w:tab w:val="left" w:pos="158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 xml:space="preserve">Registro de presentación de los productos </w:t>
            </w: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lastRenderedPageBreak/>
              <w:t xml:space="preserve">elaborados y/o producidos por los estudiantes  participantes. 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8"/>
              </w:numPr>
              <w:tabs>
                <w:tab w:val="left" w:pos="158"/>
              </w:tabs>
              <w:spacing w:before="0" w:after="0"/>
              <w:ind w:left="176" w:hanging="284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Registro de Ventas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158"/>
              </w:tabs>
              <w:spacing w:before="0" w:after="0"/>
              <w:ind w:left="140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Registro de Proveedores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color w:val="000000"/>
                <w:sz w:val="18"/>
                <w:szCs w:val="18"/>
              </w:rPr>
              <w:t>Registro de canales de comercialización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0" w:after="0"/>
              <w:ind w:left="36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lastRenderedPageBreak/>
              <w:t>Autoridades comunales y actores educativos de las instituciones educativas capacitados en educación productiva y EIB.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Escasa experiencia en los procesos de producción y comercialización por parte de los miembros de los Comités de Gestión.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0" w:after="0"/>
              <w:ind w:left="36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 xml:space="preserve">Estudiantes motivados para la elaboración y </w:t>
            </w:r>
            <w:r w:rsidRPr="00FA533E">
              <w:rPr>
                <w:rFonts w:ascii="Arial" w:hAnsi="Arial" w:cs="Arial"/>
                <w:sz w:val="18"/>
                <w:szCs w:val="18"/>
              </w:rPr>
              <w:lastRenderedPageBreak/>
              <w:t>producción de productos y su comercialización.</w:t>
            </w:r>
          </w:p>
          <w:p w:rsidR="00777B91" w:rsidRPr="00FA533E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Estudiantes  han desarrollado su autoestima y se insertan en el mercado laboral, desarrollando sus proyectos de vida.</w:t>
            </w:r>
          </w:p>
          <w:p w:rsidR="00777B91" w:rsidRPr="001A0B26" w:rsidRDefault="00777B91" w:rsidP="00777B91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spacing w:before="0" w:after="0"/>
              <w:ind w:left="282" w:hanging="282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Comités de Gestión involucrados con negocios emprendedores.</w:t>
            </w:r>
          </w:p>
        </w:tc>
      </w:tr>
      <w:tr w:rsidR="00777B91" w:rsidRPr="00FA533E" w:rsidTr="00643C2E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91" w:rsidRPr="00FA533E" w:rsidRDefault="00777B91" w:rsidP="00643C2E">
            <w:pPr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Actividad 4.1.2: </w:t>
            </w:r>
            <w:r w:rsidRPr="00FA533E">
              <w:rPr>
                <w:rFonts w:ascii="Arial" w:hAnsi="Arial" w:cs="Arial"/>
                <w:bCs/>
                <w:sz w:val="18"/>
                <w:szCs w:val="18"/>
              </w:rPr>
              <w:t xml:space="preserve">Capacitación y monitoreo a los Comités de Gestión en negocios emprendedores.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11"/>
              </w:numPr>
              <w:tabs>
                <w:tab w:val="left" w:pos="175"/>
              </w:tabs>
              <w:spacing w:before="0" w:after="0"/>
              <w:ind w:left="175" w:hanging="28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100% de Comités de Gestión participan en Talleres de capacitación, con la participación de 6 integrantes cada uno, al término del año 2012.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11"/>
              </w:numPr>
              <w:tabs>
                <w:tab w:val="left" w:pos="175"/>
              </w:tabs>
              <w:spacing w:before="0" w:after="0"/>
              <w:ind w:left="175" w:hanging="283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10 experiencias técnico productivas exitosas presentadas una por cada unidad de producción que tengan incidencia como procesos de innovación educativa.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91" w:rsidRPr="00FA533E" w:rsidRDefault="00777B91" w:rsidP="00777B91">
            <w:pPr>
              <w:pStyle w:val="Prrafodelista"/>
              <w:numPr>
                <w:ilvl w:val="0"/>
                <w:numId w:val="11"/>
              </w:numPr>
              <w:tabs>
                <w:tab w:val="left" w:pos="-108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Plan de capacitación y monitoreo a los Comités de Gestión.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11"/>
              </w:numPr>
              <w:tabs>
                <w:tab w:val="left" w:pos="-108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Registro de asistencia de los participantes a los talleres.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11"/>
              </w:numPr>
              <w:tabs>
                <w:tab w:val="left" w:pos="-108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Fichas descriptivas de cada experiencia innovadora técnico productiva.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11"/>
              </w:numPr>
              <w:tabs>
                <w:tab w:val="left" w:pos="-108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Ficha de evaluación de cada experiencia presentada.</w:t>
            </w:r>
          </w:p>
          <w:p w:rsidR="00777B91" w:rsidRPr="00FA533E" w:rsidRDefault="00777B91" w:rsidP="00777B91">
            <w:pPr>
              <w:pStyle w:val="Prrafodelista"/>
              <w:numPr>
                <w:ilvl w:val="0"/>
                <w:numId w:val="11"/>
              </w:numPr>
              <w:tabs>
                <w:tab w:val="left" w:pos="-108"/>
              </w:tabs>
              <w:spacing w:before="0" w:after="0"/>
              <w:ind w:left="176" w:hanging="28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A533E">
              <w:rPr>
                <w:rFonts w:ascii="Arial" w:hAnsi="Arial" w:cs="Arial"/>
                <w:sz w:val="18"/>
                <w:szCs w:val="18"/>
                <w:lang w:eastAsia="es-ES"/>
              </w:rPr>
              <w:t>Informe final de las acciones de capacitación y monitoreo a los Comités de Gestión.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91" w:rsidRPr="00FA533E" w:rsidRDefault="00777B91" w:rsidP="00777B91">
            <w:pPr>
              <w:numPr>
                <w:ilvl w:val="0"/>
                <w:numId w:val="1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Participación activa de los estudiantes en los Comités de Gestión.</w:t>
            </w:r>
          </w:p>
          <w:p w:rsidR="00777B91" w:rsidRPr="00FA533E" w:rsidRDefault="00777B91" w:rsidP="00777B91">
            <w:pPr>
              <w:numPr>
                <w:ilvl w:val="0"/>
                <w:numId w:val="1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Experiencias de los miembros de los Comités de Gestión en los procesos de producción.</w:t>
            </w:r>
          </w:p>
          <w:p w:rsidR="00777B91" w:rsidRPr="00FA533E" w:rsidRDefault="00777B91" w:rsidP="00777B91">
            <w:pPr>
              <w:numPr>
                <w:ilvl w:val="0"/>
                <w:numId w:val="1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A533E">
              <w:rPr>
                <w:rFonts w:ascii="Arial" w:hAnsi="Arial" w:cs="Arial"/>
                <w:sz w:val="18"/>
                <w:szCs w:val="18"/>
              </w:rPr>
              <w:t>Participación no permanente ni coordinada de los m miembros  de negocios emprendedores.</w:t>
            </w:r>
          </w:p>
        </w:tc>
      </w:tr>
    </w:tbl>
    <w:p w:rsidR="002F48FA" w:rsidRDefault="00777B91"/>
    <w:sectPr w:rsidR="002F48FA" w:rsidSect="00777B91">
      <w:pgSz w:w="16838" w:h="11906" w:orient="landscape" w:code="9"/>
      <w:pgMar w:top="113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C06"/>
    <w:multiLevelType w:val="hybridMultilevel"/>
    <w:tmpl w:val="3814E67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6D1B72"/>
    <w:multiLevelType w:val="hybridMultilevel"/>
    <w:tmpl w:val="BE2E8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25020"/>
    <w:multiLevelType w:val="hybridMultilevel"/>
    <w:tmpl w:val="A68A77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650653"/>
    <w:multiLevelType w:val="hybridMultilevel"/>
    <w:tmpl w:val="35C2CEEC"/>
    <w:lvl w:ilvl="0" w:tplc="D9F4FE06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10B935BC"/>
    <w:multiLevelType w:val="hybridMultilevel"/>
    <w:tmpl w:val="416889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8F2DD9"/>
    <w:multiLevelType w:val="hybridMultilevel"/>
    <w:tmpl w:val="52D2AD70"/>
    <w:lvl w:ilvl="0" w:tplc="0C0A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6">
    <w:nsid w:val="26D867A9"/>
    <w:multiLevelType w:val="hybridMultilevel"/>
    <w:tmpl w:val="2A52D3A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5411E2"/>
    <w:multiLevelType w:val="hybridMultilevel"/>
    <w:tmpl w:val="C3AEA22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7DB2A01"/>
    <w:multiLevelType w:val="hybridMultilevel"/>
    <w:tmpl w:val="C388C24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4D348DB"/>
    <w:multiLevelType w:val="hybridMultilevel"/>
    <w:tmpl w:val="228E2D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C91A59"/>
    <w:multiLevelType w:val="hybridMultilevel"/>
    <w:tmpl w:val="A4C0E2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DB43EB2"/>
    <w:multiLevelType w:val="hybridMultilevel"/>
    <w:tmpl w:val="51629C5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268EB"/>
    <w:multiLevelType w:val="hybridMultilevel"/>
    <w:tmpl w:val="9D7E843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7B91"/>
    <w:rsid w:val="001646E3"/>
    <w:rsid w:val="00777B91"/>
    <w:rsid w:val="00A9240E"/>
    <w:rsid w:val="00AE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91"/>
    <w:pPr>
      <w:spacing w:before="120" w:after="120" w:line="240" w:lineRule="auto"/>
      <w:jc w:val="both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77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4212</Words>
  <Characters>23171</Characters>
  <Application>Microsoft Office Word</Application>
  <DocSecurity>0</DocSecurity>
  <Lines>193</Lines>
  <Paragraphs>54</Paragraphs>
  <ScaleCrop>false</ScaleCrop>
  <Company>mef</Company>
  <LinksUpToDate>false</LinksUpToDate>
  <CharactersWithSpaces>27329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lespinozas</dc:creator>
  <cp:keywords/>
  <dc:description/>
  <cp:lastModifiedBy>lespinozas</cp:lastModifiedBy>
  <cp:revision>1</cp:revision>
  <cp:lastPrinted>2013-04-09T15:18:00Z</cp:lastPrinted>
  <dcterms:created xsi:type="dcterms:W3CDTF">2013-04-09T15:17:00Z</dcterms:created>
  <dcterms:modified xsi:type="dcterms:W3CDTF">2013-04-09T15:19:00Z</dcterms:modified>
</cp:coreProperties>
</file>